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0C4A6E"/>
          <w:sz w:val="36"/>
        </w:rPr>
        <w:t>SIDDHARTH MEHTA</w:t>
      </w:r>
    </w:p>
    <w:p>
      <w:pPr>
        <w:spacing w:before="0" w:after="40"/>
      </w:pPr>
      <w:r>
        <w:rPr>
          <w:rFonts w:ascii="Calibri" w:hAnsi="Calibri"/>
          <w:b/>
          <w:color w:val="475569"/>
          <w:sz w:val="21"/>
        </w:rPr>
        <w:t>Target Role: Strategy Business Analyst / Associate (McKinsey &amp; Company / BCG)</w:t>
      </w:r>
    </w:p>
    <w:p>
      <w:pPr>
        <w:spacing w:before="0" w:after="120"/>
      </w:pPr>
      <w:r>
        <w:rPr>
          <w:rFonts w:ascii="Calibri" w:hAnsi="Calibri"/>
          <w:color w:val="64748B"/>
          <w:sz w:val="19"/>
        </w:rPr>
        <w:t>Mumbai, Maharashtra | +91 99000 66778 | siddharth.mehta@example.com | linkedin.com/in/siddharth-consulting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SUMMARY</w:t>
      </w:r>
    </w:p>
    <w:p>
      <w:pPr>
        <w:spacing w:before="0" w:after="80"/>
      </w:pPr>
      <w:r>
        <w:rPr>
          <w:rFonts w:ascii="Calibri" w:hAnsi="Calibri"/>
          <w:color w:val="334155"/>
          <w:sz w:val="19"/>
        </w:rPr>
        <w:t>Management Consultant with 3+ years of experience in strategy formulation, commercial due diligence, and operational turnaround for PE-backed and Fortune 500 corporations. Proven track record applying hypothesis-driven MECE problem solving to unlock $28M+ in EBITDA improvements, lead market entry valuations, and present c-suite recommendations to CEOs and Board of Directors. National Winner of Premier B-School Case Competitions.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CORE COMPETENCIES &amp; TECHNICAL SKILLS</w:t>
      </w:r>
    </w:p>
    <w:p>
      <w:pPr>
        <w:spacing w:before="20" w:after="20"/>
      </w:pPr>
      <w:r>
        <w:rPr>
          <w:rFonts w:ascii="Calibri" w:hAnsi="Calibri"/>
          <w:b/>
          <w:color w:val="1E293B"/>
          <w:sz w:val="19"/>
        </w:rPr>
        <w:t xml:space="preserve">Strategy Frameworks: </w:t>
      </w:r>
      <w:r>
        <w:rPr>
          <w:rFonts w:ascii="Calibri" w:hAnsi="Calibri"/>
          <w:color w:val="334155"/>
          <w:sz w:val="19"/>
        </w:rPr>
        <w:t>Hypothesis-Driven Problem Solving, MECE Framework, Issue Tree Structuring, Market Sizing (TAM/SAM/SOM), Commercial Due Diligence (CDD)</w:t>
      </w:r>
    </w:p>
    <w:p>
      <w:pPr>
        <w:spacing w:before="20" w:after="20"/>
      </w:pPr>
      <w:r>
        <w:rPr>
          <w:rFonts w:ascii="Calibri" w:hAnsi="Calibri"/>
          <w:b/>
          <w:color w:val="1E293B"/>
          <w:sz w:val="19"/>
        </w:rPr>
        <w:t xml:space="preserve">Financial &amp; Quantitative Modeling: </w:t>
      </w:r>
      <w:r>
        <w:rPr>
          <w:rFonts w:ascii="Calibri" w:hAnsi="Calibri"/>
          <w:color w:val="334155"/>
          <w:sz w:val="19"/>
        </w:rPr>
        <w:t>DCF Valuation, 3-Statement LBO Models, Scenario Analysis, Unit Economics Breakdown, Cost Allocation Matrix, Monte Carlo Simulation</w:t>
      </w:r>
    </w:p>
    <w:p>
      <w:pPr>
        <w:spacing w:before="20" w:after="20"/>
      </w:pPr>
      <w:r>
        <w:rPr>
          <w:rFonts w:ascii="Calibri" w:hAnsi="Calibri"/>
          <w:b/>
          <w:color w:val="1E293B"/>
          <w:sz w:val="19"/>
        </w:rPr>
        <w:t xml:space="preserve">Analytics &amp; Tooling: </w:t>
      </w:r>
      <w:r>
        <w:rPr>
          <w:rFonts w:ascii="Calibri" w:hAnsi="Calibri"/>
          <w:color w:val="334155"/>
          <w:sz w:val="19"/>
        </w:rPr>
        <w:t>Advanced Excel (Financial Modeling), PowerPoint (Executive Storyboarding), Think-Cell, SQL, Tableau, Python for Data Analysis</w:t>
      </w:r>
    </w:p>
    <w:p>
      <w:pPr>
        <w:spacing w:before="20" w:after="20"/>
      </w:pPr>
      <w:r>
        <w:rPr>
          <w:rFonts w:ascii="Calibri" w:hAnsi="Calibri"/>
          <w:b/>
          <w:color w:val="1E293B"/>
          <w:sz w:val="19"/>
        </w:rPr>
        <w:t xml:space="preserve">Executive Communication: </w:t>
      </w:r>
      <w:r>
        <w:rPr>
          <w:rFonts w:ascii="Calibri" w:hAnsi="Calibri"/>
          <w:color w:val="334155"/>
          <w:sz w:val="19"/>
        </w:rPr>
        <w:t>Pyramid Principle Synthesis, Top-Down C-Suite Storytelling, Boardroom Presentations, Client Workshop Facilitation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WORK EXPERIENCE</w:t>
      </w:r>
    </w:p>
    <w:p>
      <w:pPr>
        <w:spacing w:before="80" w:after="20"/>
      </w:pPr>
      <w:r>
        <w:rPr>
          <w:rFonts w:ascii="Calibri" w:hAnsi="Calibri"/>
          <w:b/>
          <w:color w:val="0F172A"/>
          <w:sz w:val="20"/>
        </w:rPr>
        <w:t>Senior Strategy Analyst (Corporate Strategy &amp; Growth)</w:t>
      </w:r>
      <w:r>
        <w:rPr>
          <w:rFonts w:ascii="Calibri" w:hAnsi="Calibri"/>
          <w:color w:val="475569"/>
          <w:sz w:val="19"/>
        </w:rPr>
        <w:t xml:space="preserve"> | Strategic Management &amp; Private Equity Advisory    (2023 – Present | Mumbai, India)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Led commercial due diligence (CDD) for a $140M cross-border B2B SaaS acquisition, evaluating customer retention, pricing power, and competitive moat to recommend a 15% valuation discount.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Engineered bottom-up operational turnaround strategy for a leading Indian consumer goods company, rationalizing 400+ unprofitable SKUs and generating ₹38 Cr ($4.5M) in direct annual EBITDA savings.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Designed market entry strategy for a global EV infrastructure provider expanding into Southeast Asia, modeling 5-year unit economics and regulatory subsidies across 4 target countries.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Synthesized 120-page executive presentation into a 10-slide Board-ready deck using the Pyramid Principle, securing unanimous CEO approval for a $22M capital allocation.</w:t>
      </w:r>
    </w:p>
    <w:p>
      <w:pPr>
        <w:spacing w:before="80" w:after="20"/>
      </w:pPr>
      <w:r>
        <w:rPr>
          <w:rFonts w:ascii="Calibri" w:hAnsi="Calibri"/>
          <w:b/>
          <w:color w:val="0F172A"/>
          <w:sz w:val="20"/>
        </w:rPr>
        <w:t>Junior Business Analyst (Operations &amp; Transformation)</w:t>
      </w:r>
      <w:r>
        <w:rPr>
          <w:rFonts w:ascii="Calibri" w:hAnsi="Calibri"/>
          <w:color w:val="475569"/>
          <w:sz w:val="19"/>
        </w:rPr>
        <w:t xml:space="preserve"> | Global Management Advisory Practice    (2021 – 2023 | Gurugram, India)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Modeled supply chain distribution network optimization across 28 fulfillment warehouses, reducing inventory holding cycles by 22 days and freeing $12M in working capital.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Conducted 45+ expert interviews with industry leaders, suppliers, and competitors to benchmark pricing elasticity and distributor margins.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Co-authored firm's whitepaper on 'GenAI in Indian Banking &amp; Financial Services', featured across major business press and shared with 150+ C-level executives.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KEY PROJECTS &amp; CLIENT ENGAGEMENTS</w:t>
      </w:r>
    </w:p>
    <w:p>
      <w:pPr>
        <w:spacing w:before="60" w:after="20"/>
      </w:pPr>
      <w:r>
        <w:rPr>
          <w:rFonts w:ascii="Calibri" w:hAnsi="Calibri"/>
          <w:b/>
          <w:color w:val="0F172A"/>
          <w:sz w:val="20"/>
        </w:rPr>
        <w:t>National Case Competition Champion — B-School Strategy Summit</w:t>
      </w:r>
      <w:r>
        <w:rPr>
          <w:rFonts w:ascii="Calibri" w:hAnsi="Calibri"/>
          <w:color w:val="64748B"/>
          <w:sz w:val="18"/>
        </w:rPr>
        <w:t xml:space="preserve"> [Strategic Frameworks, DCF Valuation, M&amp;A Simulation]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Ranked 1st out of 850+ national collegiate teams solving a Harvard Business School case study on renewable energy microgrid commercialization.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EDUCATION &amp; CREDENTIALS</w:t>
      </w:r>
    </w:p>
    <w:p>
      <w:pPr>
        <w:spacing w:before="40" w:after="20"/>
      </w:pPr>
      <w:r>
        <w:rPr>
          <w:rFonts w:ascii="Calibri" w:hAnsi="Calibri"/>
          <w:b/>
          <w:color w:val="0F172A"/>
          <w:sz w:val="19"/>
        </w:rPr>
        <w:t>Bachelor of Commerce (Honours) / B.A. Economics</w:t>
      </w:r>
      <w:r>
        <w:rPr>
          <w:rFonts w:ascii="Calibri" w:hAnsi="Calibri"/>
          <w:color w:val="475569"/>
          <w:sz w:val="19"/>
        </w:rPr>
        <w:t xml:space="preserve"> — St. Xavier's College / Shri Ram College of Commerce (SRCC) (2021) | Cumulative GPA: 9.2 / 10.0 (Top 2% of Batch)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