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PRIYA NAIR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Technology Consultant / Business Analyst (Deloitte USI / PwC AC)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Gurugram, Haryana | +91 97777 44556 | priya.nair@example.com | linkedin.com/in/priya-consultant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color w:val="334155"/>
          <w:sz w:val="19"/>
        </w:rPr>
        <w:t>Technology Consultant with 4+ years of experience leading enterprise cloud, data modernization, and ERP transformation programs for Global 500 clients. Specialized in translating complex business requirements into scalable cloud architectures (AWS/Azure), automating financial reporting pipelines, and managing multi-location cross-functional delivery teams across US, UK, and India timezones with 100% on-time milestone delivery.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CORE COMPETENCIES &amp; TECHNICAL SKILLS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Consulting Competencies: </w:t>
      </w:r>
      <w:r>
        <w:rPr>
          <w:rFonts w:ascii="Calibri" w:hAnsi="Calibri"/>
          <w:color w:val="334155"/>
          <w:sz w:val="19"/>
        </w:rPr>
        <w:t>Enterprise Architecture, Business Process Re-engineering (BPR), Stakeholder Management, Requirement Traceability (BRD/FRD), Agile Delivery (Scrum)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Data &amp; Analytics: </w:t>
      </w:r>
      <w:r>
        <w:rPr>
          <w:rFonts w:ascii="Calibri" w:hAnsi="Calibri"/>
          <w:color w:val="334155"/>
          <w:sz w:val="19"/>
        </w:rPr>
        <w:t>SQL (Advanced), Snowflake, Databricks, Power BI (DAX), Tableau, Apache Airflow, Python (Pandas/PySpark)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Enterprise Platforms &amp; Cloud: </w:t>
      </w:r>
      <w:r>
        <w:rPr>
          <w:rFonts w:ascii="Calibri" w:hAnsi="Calibri"/>
          <w:color w:val="334155"/>
          <w:sz w:val="19"/>
        </w:rPr>
        <w:t>AWS (S3, Glue, Athena, Redshift), Microsoft Azure (Synapse, Data Factory), SAP S/4HANA Migration, Salesforce CRM</w:t>
      </w:r>
    </w:p>
    <w:p>
      <w:pPr>
        <w:spacing w:before="20" w:after="20"/>
      </w:pPr>
      <w:r>
        <w:rPr>
          <w:rFonts w:ascii="Calibri" w:hAnsi="Calibri"/>
          <w:b/>
          <w:color w:val="1E293B"/>
          <w:sz w:val="19"/>
        </w:rPr>
        <w:t xml:space="preserve">Governance &amp; Compliance: </w:t>
      </w:r>
      <w:r>
        <w:rPr>
          <w:rFonts w:ascii="Calibri" w:hAnsi="Calibri"/>
          <w:color w:val="334155"/>
          <w:sz w:val="19"/>
        </w:rPr>
        <w:t>ITIL v4, SOX Compliance, GDPR Data Governance, Jira, Confluence, Service Control Architecture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WORK EXPERIENCE</w:t>
      </w:r>
    </w:p>
    <w:p>
      <w:pPr>
        <w:spacing w:before="80" w:after="20"/>
      </w:pPr>
      <w:r>
        <w:rPr>
          <w:rFonts w:ascii="Calibri" w:hAnsi="Calibri"/>
          <w:b/>
          <w:color w:val="0F172A"/>
          <w:sz w:val="20"/>
        </w:rPr>
        <w:t>Technology Consultant (Advisory &amp; Analytics)</w:t>
      </w:r>
      <w:r>
        <w:rPr>
          <w:rFonts w:ascii="Calibri" w:hAnsi="Calibri"/>
          <w:color w:val="475569"/>
          <w:sz w:val="19"/>
        </w:rPr>
        <w:t xml:space="preserve"> | Global Technology Advisory Services    (2022 – Present | Gurugram, India)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Led data modernization workstream for a Tier-1 US Healthcare client, migrating 45TB on-premises Oracle database to Snowflake on AWS with zero regulatory non-compliance.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Formulated business requirement documents (BRD) and functional specifications (FSD) across 6 executive stakeholder groups, reducing scope creep changes by 32%.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Automated quarterly financial audit and revenue reconciliation reporting using PySpark and Power BI, saving client 140 manual accounting hours per billing cycle.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Supervised a pod of 6 associate analysts, driving 96% sprint velocity and receiving the 'Outstanding Client Impact' delivery award for FY25.</w:t>
      </w:r>
    </w:p>
    <w:p>
      <w:pPr>
        <w:spacing w:before="80" w:after="20"/>
      </w:pPr>
      <w:r>
        <w:rPr>
          <w:rFonts w:ascii="Calibri" w:hAnsi="Calibri"/>
          <w:b/>
          <w:color w:val="0F172A"/>
          <w:sz w:val="20"/>
        </w:rPr>
        <w:t>Business Technology Analyst</w:t>
      </w:r>
      <w:r>
        <w:rPr>
          <w:rFonts w:ascii="Calibri" w:hAnsi="Calibri"/>
          <w:color w:val="475569"/>
          <w:sz w:val="19"/>
        </w:rPr>
        <w:t xml:space="preserve"> | Enterprise Cloud Solutions Group    (2020 – 2022 | Bengaluru, India)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Designed executive KPI dashboards in Power BI and SQL for global supply chain procurement, tracking $85M in annual inventory across 14 geographic distribution hubs.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Standardized ETL ingestion workflows using Azure Data Factory, improving data refresh reliability from 82% to 99.8%.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Facilitated daily standups, backlog grooming, and sprint retrospectives as certified Scrum Master for a 12-member offshore engineering pod.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KEY PROJECTS &amp; CLIENT ENGAGEMENTS</w:t>
      </w:r>
    </w:p>
    <w:p>
      <w:pPr>
        <w:spacing w:before="60" w:after="20"/>
      </w:pPr>
      <w:r>
        <w:rPr>
          <w:rFonts w:ascii="Calibri" w:hAnsi="Calibri"/>
          <w:b/>
          <w:color w:val="0F172A"/>
          <w:sz w:val="20"/>
        </w:rPr>
        <w:t>Cloud Cost Optimization &amp; Multi-Cloud Governance Framework</w:t>
      </w:r>
      <w:r>
        <w:rPr>
          <w:rFonts w:ascii="Calibri" w:hAnsi="Calibri"/>
          <w:color w:val="64748B"/>
          <w:sz w:val="18"/>
        </w:rPr>
        <w:t xml:space="preserve"> [AWS Cost Explorer, Azure Advisor, Python, Power BI]</w:t>
      </w:r>
    </w:p>
    <w:p>
      <w:pPr>
        <w:pStyle w:val="ListBullet"/>
        <w:spacing w:before="20" w:after="20"/>
      </w:pPr>
      <w:r>
        <w:rPr>
          <w:rFonts w:ascii="Calibri" w:hAnsi="Calibri"/>
          <w:color w:val="334155"/>
          <w:sz w:val="19"/>
        </w:rPr>
        <w:t>Analyzed cloud resource utilization across 80+ enterprise client workloads, identifying orphaned storage and over-provisioned compute to deliver $1.2M in annual cost savings.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CREDENTIALS</w:t>
      </w:r>
    </w:p>
    <w:p>
      <w:pPr>
        <w:spacing w:before="40" w:after="20"/>
      </w:pPr>
      <w:r>
        <w:rPr>
          <w:rFonts w:ascii="Calibri" w:hAnsi="Calibri"/>
          <w:b/>
          <w:color w:val="0F172A"/>
          <w:sz w:val="19"/>
        </w:rPr>
        <w:t>B.Tech in Information Technology</w:t>
      </w:r>
      <w:r>
        <w:rPr>
          <w:rFonts w:ascii="Calibri" w:hAnsi="Calibri"/>
          <w:color w:val="475569"/>
          <w:sz w:val="19"/>
        </w:rPr>
        <w:t xml:space="preserve"> — Delhi Technological University (DTU) (2020) | First Class with Distinction (81.4%)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